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6DC97">
      <w:pPr>
        <w:rPr>
          <w:rFonts w:hint="eastAsia" w:ascii="黑体" w:hAnsi="黑体" w:eastAsia="黑体"/>
          <w:sz w:val="32"/>
          <w:szCs w:val="32"/>
        </w:rPr>
      </w:pPr>
    </w:p>
    <w:p w14:paraId="2E1986FD">
      <w:pPr>
        <w:jc w:val="center"/>
        <w:rPr>
          <w:rFonts w:hint="eastAsia" w:ascii="方正小标宋_GBK" w:hAnsi="宋体" w:eastAsia="方正小标宋_GBK"/>
          <w:sz w:val="44"/>
          <w:szCs w:val="44"/>
        </w:rPr>
      </w:pPr>
    </w:p>
    <w:p w14:paraId="245C749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木垒哈萨克自治县民族歌舞团</w:t>
      </w:r>
    </w:p>
    <w:p w14:paraId="09F1DF8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F18547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36D5C0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571647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A283233">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31AA9DE">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F36D3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5B26A7E">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8AC397E">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22668D2">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6901628">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AEDC84">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F4E8194">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1CDEB7F">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3D05415">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A368783">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8F99D4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B13B431">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DF477F7">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6AB3978">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1C851EF">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CFC3782">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2EA4F77">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1F76EE2">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C65A819">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2EE9250">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56FC8A1">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C70797E">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1F1BFAD">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2530EB7">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768452B">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632666D">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6903B57">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64146FB">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14CE4E0">
      <w:r>
        <w:rPr>
          <w:rFonts w:hint="eastAsia" w:ascii="仿宋_GB2312" w:hAnsi="仿宋_GB2312" w:eastAsia="仿宋_GB2312" w:cs="仿宋_GB2312"/>
          <w:sz w:val="32"/>
          <w:szCs w:val="32"/>
        </w:rPr>
        <w:fldChar w:fldCharType="end"/>
      </w:r>
    </w:p>
    <w:p w14:paraId="6DF5291C">
      <w:pPr>
        <w:rPr>
          <w:rFonts w:ascii="仿宋_GB2312" w:eastAsia="仿宋_GB2312"/>
          <w:sz w:val="32"/>
          <w:szCs w:val="32"/>
        </w:rPr>
      </w:pPr>
      <w:r>
        <w:rPr>
          <w:rFonts w:hint="eastAsia" w:ascii="仿宋_GB2312" w:eastAsia="仿宋_GB2312"/>
          <w:sz w:val="32"/>
          <w:szCs w:val="32"/>
        </w:rPr>
        <w:br w:type="page"/>
      </w:r>
    </w:p>
    <w:p w14:paraId="7136F8CD">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4F3C46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B586939">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木垒哈萨克自治县民族歌舞团承担创作演出民族歌舞剧（节目），发展民族文化艺术。承担创作表演舞台艺术作品；负责艺术研究与普及推广工作。负责民族民间艺术作品收集整理与保护工作。参与公共文化活动、培养优秀艺术人才工作。</w:t>
      </w:r>
    </w:p>
    <w:p w14:paraId="76C1E3CD">
      <w:pPr>
        <w:ind w:firstLine="640" w:firstLineChars="200"/>
        <w:jc w:val="left"/>
        <w:rPr>
          <w:rFonts w:ascii="仿宋_GB2312" w:eastAsia="仿宋_GB2312"/>
          <w:sz w:val="32"/>
          <w:szCs w:val="32"/>
        </w:rPr>
      </w:pPr>
      <w:r>
        <w:rPr>
          <w:rFonts w:hint="eastAsia" w:ascii="仿宋_GB2312" w:eastAsia="仿宋_GB2312"/>
          <w:sz w:val="32"/>
          <w:szCs w:val="32"/>
        </w:rPr>
        <w:t>完成</w:t>
      </w:r>
      <w:r>
        <w:rPr>
          <w:rFonts w:hint="eastAsia" w:ascii="仿宋_GB2312" w:eastAsia="仿宋_GB2312"/>
          <w:sz w:val="32"/>
          <w:szCs w:val="32"/>
          <w:lang w:eastAsia="zh-CN"/>
        </w:rPr>
        <w:t>木垒哈萨克自治县</w:t>
      </w:r>
      <w:r>
        <w:rPr>
          <w:rFonts w:hint="eastAsia" w:ascii="仿宋_GB2312" w:eastAsia="仿宋_GB2312"/>
          <w:sz w:val="32"/>
          <w:szCs w:val="32"/>
        </w:rPr>
        <w:t>文化体育广播电视和旅游局交办的其他任务。</w:t>
      </w:r>
    </w:p>
    <w:p w14:paraId="074D2783">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5F17FC4">
      <w:pPr>
        <w:ind w:firstLine="640" w:firstLineChars="200"/>
        <w:jc w:val="left"/>
        <w:rPr>
          <w:rFonts w:ascii="仿宋_GB2312" w:eastAsia="仿宋_GB2312"/>
          <w:sz w:val="32"/>
          <w:szCs w:val="32"/>
        </w:rPr>
      </w:pPr>
      <w:r>
        <w:rPr>
          <w:rFonts w:hint="eastAsia" w:ascii="仿宋_GB2312" w:eastAsia="仿宋_GB2312"/>
          <w:sz w:val="32"/>
          <w:szCs w:val="32"/>
        </w:rPr>
        <w:t>木垒哈萨克自治县民族歌舞团2023年度，实有人数</w:t>
      </w:r>
      <w:r>
        <w:rPr>
          <w:rFonts w:hint="eastAsia" w:ascii="仿宋_GB2312" w:eastAsia="仿宋_GB2312"/>
          <w:sz w:val="32"/>
          <w:szCs w:val="32"/>
          <w:lang w:val="zh-CN"/>
        </w:rPr>
        <w:t>26</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w:t>
      </w:r>
      <w:r>
        <w:rPr>
          <w:rFonts w:hint="eastAsia" w:ascii="仿宋_GB2312" w:eastAsia="仿宋_GB2312"/>
          <w:sz w:val="32"/>
          <w:szCs w:val="32"/>
        </w:rPr>
        <w:t>人。</w:t>
      </w:r>
    </w:p>
    <w:p w14:paraId="6537E65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个处室，分别是：办公室、业务室</w:t>
      </w:r>
      <w:r>
        <w:rPr>
          <w:rFonts w:hint="eastAsia" w:ascii="仿宋_GB2312" w:hAnsi="宋体" w:eastAsia="仿宋_GB2312" w:cs="宋体"/>
          <w:kern w:val="0"/>
          <w:sz w:val="32"/>
          <w:szCs w:val="32"/>
        </w:rPr>
        <w:t>。</w:t>
      </w:r>
    </w:p>
    <w:p w14:paraId="2493FFA9">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CC3C31F">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D215619">
      <w:pPr>
        <w:ind w:firstLine="640" w:firstLineChars="200"/>
        <w:jc w:val="left"/>
        <w:rPr>
          <w:rFonts w:ascii="仿宋_GB2312" w:eastAsia="仿宋_GB2312"/>
          <w:sz w:val="32"/>
          <w:szCs w:val="32"/>
        </w:rPr>
      </w:pPr>
      <w:r>
        <w:rPr>
          <w:rFonts w:hint="eastAsia" w:ascii="仿宋_GB2312" w:eastAsia="仿宋_GB2312"/>
          <w:sz w:val="32"/>
          <w:szCs w:val="32"/>
        </w:rPr>
        <w:t>2023年度收入总计358.61万元，其中：本年收入合计358.61万元，使用非财政拨款结余0.00万元，年初结转和结余0.00万元。</w:t>
      </w:r>
    </w:p>
    <w:p w14:paraId="62F0F51E">
      <w:pPr>
        <w:ind w:firstLine="640" w:firstLineChars="200"/>
        <w:jc w:val="left"/>
        <w:rPr>
          <w:rFonts w:ascii="仿宋_GB2312" w:eastAsia="仿宋_GB2312"/>
          <w:sz w:val="32"/>
          <w:szCs w:val="32"/>
        </w:rPr>
      </w:pPr>
      <w:r>
        <w:rPr>
          <w:rFonts w:hint="eastAsia" w:ascii="仿宋_GB2312" w:eastAsia="仿宋_GB2312"/>
          <w:sz w:val="32"/>
          <w:szCs w:val="32"/>
        </w:rPr>
        <w:t>2023年度支出总计358.61万元，其中：本年支出合计358.61万元，结余分配0.00万元，年末结转和结余0.00万元。</w:t>
      </w:r>
    </w:p>
    <w:p w14:paraId="50F8594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增加4.21万元</w:t>
      </w:r>
      <w:r>
        <w:rPr>
          <w:rFonts w:hint="eastAsia" w:ascii="仿宋_GB2312" w:eastAsia="仿宋_GB2312"/>
          <w:sz w:val="32"/>
          <w:szCs w:val="32"/>
        </w:rPr>
        <w:t>，增长1.19%，主要原因是：单位本年人员丧葬费、抚恤金补助增加</w:t>
      </w:r>
      <w:r>
        <w:rPr>
          <w:rFonts w:hint="eastAsia" w:ascii="仿宋_GB2312" w:eastAsia="仿宋_GB2312"/>
          <w:sz w:val="32"/>
          <w:szCs w:val="32"/>
          <w:lang w:eastAsia="zh-CN"/>
        </w:rPr>
        <w:t>；</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w:t>
      </w:r>
      <w:r>
        <w:rPr>
          <w:rFonts w:hint="eastAsia" w:ascii="仿宋_GB2312" w:eastAsia="仿宋_GB2312"/>
          <w:sz w:val="32"/>
          <w:szCs w:val="32"/>
        </w:rPr>
        <w:t>。</w:t>
      </w:r>
    </w:p>
    <w:p w14:paraId="62863A1B">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52700FE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358.61万元，其中：财政拨款收入358.61万元，占100.00%；上级补助收入0.00万元，占0.00%；事业收入0.00万元，占0.00%；经营收入0.00万元，占0.00%；附属单位上缴收入0.00万元，占0.00%；其他收入0.00万元，占0.00%。</w:t>
      </w:r>
    </w:p>
    <w:p w14:paraId="301FC314">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4D8B90C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本年支出358.61万元，其中：基本支出358.61万元，占100.00%；项目支出0.00万元，占0.00%；上缴上级支出0.00万元，占0.00%；经营支出0.00万元，占0.00%；对附属单位补助支出0.00万元，占0.00%。</w:t>
      </w:r>
    </w:p>
    <w:p w14:paraId="7E3E438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5B1DAC7">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358.61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358.61</w:t>
      </w:r>
      <w:r>
        <w:rPr>
          <w:rFonts w:hint="eastAsia" w:ascii="仿宋_GB2312" w:eastAsia="仿宋_GB2312"/>
          <w:sz w:val="32"/>
          <w:szCs w:val="32"/>
        </w:rPr>
        <w:t>万元。财政拨款支出总计</w:t>
      </w:r>
      <w:r>
        <w:rPr>
          <w:rFonts w:hint="eastAsia" w:ascii="仿宋_GB2312" w:eastAsia="仿宋_GB2312"/>
          <w:sz w:val="32"/>
          <w:szCs w:val="32"/>
          <w:lang w:val="zh-CN"/>
        </w:rPr>
        <w:t>358.61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358.61</w:t>
      </w:r>
      <w:r>
        <w:rPr>
          <w:rFonts w:hint="eastAsia" w:ascii="仿宋_GB2312" w:eastAsia="仿宋_GB2312"/>
          <w:sz w:val="32"/>
          <w:szCs w:val="32"/>
        </w:rPr>
        <w:t>万元。</w:t>
      </w:r>
    </w:p>
    <w:p w14:paraId="0322CF73">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增加4.21万元</w:t>
      </w:r>
      <w:r>
        <w:rPr>
          <w:rFonts w:hint="eastAsia" w:ascii="仿宋_GB2312" w:eastAsia="仿宋_GB2312"/>
          <w:sz w:val="32"/>
          <w:szCs w:val="32"/>
        </w:rPr>
        <w:t>，增长1.19%,主要原因是：单位本年人员丧葬费、抚恤金补助增加</w:t>
      </w:r>
      <w:r>
        <w:rPr>
          <w:rFonts w:hint="eastAsia" w:ascii="仿宋_GB2312" w:eastAsia="仿宋_GB2312"/>
          <w:sz w:val="32"/>
          <w:szCs w:val="32"/>
          <w:lang w:eastAsia="zh-CN"/>
        </w:rPr>
        <w:t>；</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w:t>
      </w:r>
      <w:r>
        <w:rPr>
          <w:rFonts w:hint="eastAsia" w:ascii="仿宋_GB2312" w:eastAsia="仿宋_GB2312"/>
          <w:sz w:val="32"/>
          <w:szCs w:val="32"/>
        </w:rPr>
        <w:t>。与年初预算相比，年初预算数</w:t>
      </w:r>
      <w:r>
        <w:rPr>
          <w:rFonts w:hint="eastAsia" w:ascii="仿宋_GB2312" w:eastAsia="仿宋_GB2312"/>
          <w:sz w:val="32"/>
          <w:szCs w:val="32"/>
          <w:lang w:val="zh-CN"/>
        </w:rPr>
        <w:t>342.18</w:t>
      </w:r>
      <w:r>
        <w:rPr>
          <w:rFonts w:hint="eastAsia" w:ascii="仿宋_GB2312" w:eastAsia="仿宋_GB2312"/>
          <w:sz w:val="32"/>
          <w:szCs w:val="32"/>
        </w:rPr>
        <w:t>万元，决算数</w:t>
      </w:r>
      <w:r>
        <w:rPr>
          <w:rFonts w:hint="eastAsia" w:ascii="仿宋_GB2312" w:eastAsia="仿宋_GB2312"/>
          <w:sz w:val="32"/>
          <w:szCs w:val="32"/>
          <w:lang w:val="zh-CN"/>
        </w:rPr>
        <w:t>358.61</w:t>
      </w:r>
      <w:r>
        <w:rPr>
          <w:rFonts w:hint="eastAsia" w:ascii="仿宋_GB2312" w:eastAsia="仿宋_GB2312"/>
          <w:sz w:val="32"/>
          <w:szCs w:val="32"/>
        </w:rPr>
        <w:t>万元，预决算差异率4.80%，主要原因是：</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w:t>
      </w:r>
      <w:r>
        <w:rPr>
          <w:rFonts w:hint="eastAsia" w:ascii="仿宋_GB2312" w:eastAsia="仿宋_GB2312"/>
          <w:sz w:val="32"/>
          <w:szCs w:val="32"/>
          <w:lang w:val="en-US" w:eastAsia="zh-CN"/>
        </w:rPr>
        <w:t>年中追加</w:t>
      </w:r>
      <w:r>
        <w:rPr>
          <w:rFonts w:hint="eastAsia" w:ascii="仿宋_GB2312" w:eastAsia="仿宋_GB2312"/>
          <w:sz w:val="32"/>
          <w:szCs w:val="32"/>
          <w:lang w:val="zh-CN"/>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697D295E">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1A8FD0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AFED18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2023年度一般公共预算财政拨款支出358.61万元，占本年支出合计的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增加4.21万元</w:t>
      </w:r>
      <w:r>
        <w:rPr>
          <w:rFonts w:hint="eastAsia" w:ascii="仿宋_GB2312" w:eastAsia="仿宋_GB2312"/>
          <w:sz w:val="32"/>
          <w:szCs w:val="32"/>
        </w:rPr>
        <w:t>，增长1.19%,主要原因是：单位本年人员丧葬费、抚恤金补助增加</w:t>
      </w:r>
      <w:r>
        <w:rPr>
          <w:rFonts w:hint="eastAsia" w:ascii="仿宋_GB2312" w:eastAsia="仿宋_GB2312"/>
          <w:sz w:val="32"/>
          <w:szCs w:val="32"/>
          <w:lang w:eastAsia="zh-CN"/>
        </w:rPr>
        <w:t>；</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w:t>
      </w:r>
      <w:r>
        <w:rPr>
          <w:rFonts w:hint="eastAsia" w:ascii="仿宋_GB2312" w:eastAsia="仿宋_GB2312"/>
          <w:sz w:val="32"/>
          <w:szCs w:val="32"/>
        </w:rPr>
        <w:t>与年初预算相比，年初预算数</w:t>
      </w:r>
      <w:r>
        <w:rPr>
          <w:rFonts w:hint="eastAsia" w:ascii="仿宋_GB2312" w:eastAsia="仿宋_GB2312"/>
          <w:sz w:val="32"/>
          <w:szCs w:val="32"/>
          <w:lang w:val="zh-CN"/>
        </w:rPr>
        <w:t>342.18</w:t>
      </w:r>
      <w:r>
        <w:rPr>
          <w:rFonts w:hint="eastAsia" w:ascii="仿宋_GB2312" w:eastAsia="仿宋_GB2312"/>
          <w:sz w:val="32"/>
          <w:szCs w:val="32"/>
        </w:rPr>
        <w:t>万元，决算数</w:t>
      </w:r>
      <w:r>
        <w:rPr>
          <w:rFonts w:hint="eastAsia" w:ascii="仿宋_GB2312" w:eastAsia="仿宋_GB2312"/>
          <w:sz w:val="32"/>
          <w:szCs w:val="32"/>
          <w:lang w:val="zh-CN"/>
        </w:rPr>
        <w:t>358.61</w:t>
      </w:r>
      <w:r>
        <w:rPr>
          <w:rFonts w:hint="eastAsia" w:ascii="仿宋_GB2312" w:eastAsia="仿宋_GB2312"/>
          <w:sz w:val="32"/>
          <w:szCs w:val="32"/>
        </w:rPr>
        <w:t>万元，预决算差异率</w:t>
      </w:r>
      <w:r>
        <w:rPr>
          <w:rFonts w:hint="eastAsia" w:ascii="仿宋_GB2312" w:eastAsia="仿宋_GB2312"/>
          <w:sz w:val="32"/>
          <w:szCs w:val="32"/>
          <w:lang w:val="zh-CN"/>
        </w:rPr>
        <w:t>4.80%</w:t>
      </w:r>
      <w:r>
        <w:rPr>
          <w:rFonts w:hint="eastAsia" w:ascii="仿宋_GB2312" w:eastAsia="仿宋_GB2312"/>
          <w:sz w:val="32"/>
          <w:szCs w:val="32"/>
        </w:rPr>
        <w:t>，主要原因是：</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w:t>
      </w:r>
      <w:r>
        <w:rPr>
          <w:rFonts w:hint="eastAsia" w:ascii="仿宋_GB2312" w:eastAsia="仿宋_GB2312"/>
          <w:sz w:val="32"/>
          <w:szCs w:val="32"/>
          <w:lang w:val="en-US" w:eastAsia="zh-CN"/>
        </w:rPr>
        <w:t>年中追加</w:t>
      </w:r>
      <w:r>
        <w:rPr>
          <w:rFonts w:hint="eastAsia" w:ascii="仿宋_GB2312" w:eastAsia="仿宋_GB2312"/>
          <w:sz w:val="32"/>
          <w:szCs w:val="32"/>
          <w:lang w:val="zh-CN"/>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2CB8EA6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D0660B7">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348.01</w:t>
      </w:r>
      <w:r>
        <w:rPr>
          <w:rFonts w:ascii="仿宋_GB2312" w:eastAsia="仿宋_GB2312"/>
          <w:kern w:val="2"/>
          <w:sz w:val="32"/>
          <w:szCs w:val="32"/>
          <w:lang w:val="zh-CN"/>
        </w:rPr>
        <w:t>万元，占</w:t>
      </w:r>
      <w:r>
        <w:rPr>
          <w:rFonts w:hint="eastAsia" w:ascii="仿宋_GB2312" w:eastAsia="仿宋_GB2312"/>
          <w:kern w:val="2"/>
          <w:sz w:val="32"/>
          <w:szCs w:val="32"/>
          <w:lang w:val="zh-CN"/>
        </w:rPr>
        <w:t>97.04</w:t>
      </w:r>
      <w:r>
        <w:rPr>
          <w:rFonts w:ascii="仿宋_GB2312" w:eastAsia="仿宋_GB2312"/>
          <w:kern w:val="2"/>
          <w:sz w:val="32"/>
          <w:szCs w:val="32"/>
          <w:lang w:val="zh-CN"/>
        </w:rPr>
        <w:t>%；</w:t>
      </w:r>
    </w:p>
    <w:p w14:paraId="08B935C2">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10.60</w:t>
      </w:r>
      <w:r>
        <w:rPr>
          <w:rFonts w:ascii="仿宋_GB2312" w:eastAsia="仿宋_GB2312"/>
          <w:kern w:val="2"/>
          <w:sz w:val="32"/>
          <w:szCs w:val="32"/>
          <w:lang w:val="zh-CN"/>
        </w:rPr>
        <w:t>万元，占</w:t>
      </w:r>
      <w:r>
        <w:rPr>
          <w:rFonts w:hint="eastAsia" w:ascii="仿宋_GB2312" w:eastAsia="仿宋_GB2312"/>
          <w:kern w:val="2"/>
          <w:sz w:val="32"/>
          <w:szCs w:val="32"/>
          <w:lang w:val="zh-CN"/>
        </w:rPr>
        <w:t>2.96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4500ED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E5562BC">
      <w:pPr>
        <w:ind w:firstLine="640" w:firstLineChars="200"/>
        <w:jc w:val="left"/>
        <w:rPr>
          <w:rFonts w:ascii="仿宋_GB2312" w:eastAsia="仿宋_GB2312"/>
          <w:sz w:val="32"/>
          <w:szCs w:val="32"/>
          <w:lang w:val="zh-CN"/>
        </w:rPr>
      </w:pPr>
      <w:r>
        <w:rPr>
          <w:rFonts w:hint="eastAsia" w:ascii="仿宋_GB2312" w:eastAsia="仿宋_GB2312"/>
          <w:sz w:val="32"/>
          <w:szCs w:val="32"/>
        </w:rPr>
        <w:t>1.社会保障和就业支出（类）抚恤（款）死亡抚恤（项）:支出决算数为1.15万元，比上年决算增加1.15万元，增长100%，主要原因是：单位本年人员丧葬费、抚恤金补助较上年增加</w:t>
      </w:r>
      <w:r>
        <w:rPr>
          <w:rFonts w:hint="eastAsia" w:ascii="仿宋_GB2312" w:eastAsia="仿宋_GB2312"/>
          <w:sz w:val="32"/>
          <w:szCs w:val="32"/>
          <w:lang w:val="zh-CN"/>
        </w:rPr>
        <w:t>。</w:t>
      </w:r>
    </w:p>
    <w:p w14:paraId="3CB994F9">
      <w:pPr>
        <w:ind w:firstLine="640" w:firstLineChars="200"/>
        <w:jc w:val="left"/>
        <w:rPr>
          <w:rFonts w:ascii="仿宋_GB2312" w:eastAsia="仿宋_GB2312"/>
          <w:sz w:val="32"/>
          <w:szCs w:val="32"/>
          <w:lang w:val="zh-CN"/>
        </w:rPr>
      </w:pPr>
      <w:r>
        <w:rPr>
          <w:rFonts w:hint="eastAsia" w:ascii="仿宋_GB2312" w:eastAsia="仿宋_GB2312"/>
          <w:sz w:val="32"/>
          <w:szCs w:val="32"/>
        </w:rPr>
        <w:t>2.社会保障和就业支出（类）行政事业单位养老支出（款）事业单位离退休（项）:支出决算数为3.00万元，比上年决算增加1.95万元，增长185.71%，主要原因是：本年退休人员增加，退休人员取暖费、交通补助费用增加</w:t>
      </w:r>
      <w:r>
        <w:rPr>
          <w:rFonts w:hint="eastAsia" w:ascii="仿宋_GB2312" w:eastAsia="仿宋_GB2312"/>
          <w:sz w:val="32"/>
          <w:szCs w:val="32"/>
          <w:lang w:val="zh-CN"/>
        </w:rPr>
        <w:t>。</w:t>
      </w:r>
    </w:p>
    <w:p w14:paraId="3694E3A8">
      <w:pPr>
        <w:ind w:firstLine="640" w:firstLineChars="200"/>
        <w:jc w:val="left"/>
        <w:rPr>
          <w:rFonts w:ascii="仿宋_GB2312" w:eastAsia="仿宋_GB2312"/>
          <w:sz w:val="32"/>
          <w:szCs w:val="32"/>
          <w:lang w:val="zh-CN"/>
        </w:rPr>
      </w:pPr>
      <w:r>
        <w:rPr>
          <w:rFonts w:hint="eastAsia" w:ascii="仿宋_GB2312" w:eastAsia="仿宋_GB2312"/>
          <w:sz w:val="32"/>
          <w:szCs w:val="32"/>
        </w:rPr>
        <w:t>3.文化旅游体育与传媒支出（类）文化和旅游（款）艺术表演团体（项）:支出决算数为348.01万元，比上年决算增加54.24万元，增长18.46%，主要原因是：</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lang w:val="zh-CN"/>
        </w:rPr>
        <w:t>增加。</w:t>
      </w:r>
    </w:p>
    <w:p w14:paraId="08EE7DA6">
      <w:pPr>
        <w:ind w:firstLine="640" w:firstLineChars="200"/>
        <w:jc w:val="left"/>
        <w:rPr>
          <w:rFonts w:ascii="仿宋_GB2312" w:eastAsia="仿宋_GB2312"/>
          <w:sz w:val="32"/>
          <w:szCs w:val="32"/>
          <w:lang w:val="zh-CN"/>
        </w:rPr>
      </w:pPr>
      <w:r>
        <w:rPr>
          <w:rFonts w:hint="eastAsia" w:ascii="仿宋_GB2312" w:eastAsia="仿宋_GB2312"/>
          <w:sz w:val="32"/>
          <w:szCs w:val="32"/>
        </w:rPr>
        <w:t>4.社会保障和就业支出（类）行政事业单位养老支出（款）机关事业单位职业年金缴费支出（项）:支出决算数为6.45万元，比上年决算减少1.05万元，下降14.00%，主要原因是：单位本年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职业年金缴费减少</w:t>
      </w:r>
      <w:r>
        <w:rPr>
          <w:rFonts w:hint="eastAsia" w:ascii="仿宋_GB2312" w:eastAsia="仿宋_GB2312"/>
          <w:sz w:val="32"/>
          <w:szCs w:val="32"/>
          <w:lang w:val="zh-CN"/>
        </w:rPr>
        <w:t>。</w:t>
      </w:r>
    </w:p>
    <w:p w14:paraId="40570612">
      <w:pPr>
        <w:ind w:firstLine="640" w:firstLineChars="200"/>
        <w:jc w:val="left"/>
        <w:rPr>
          <w:rFonts w:ascii="仿宋_GB2312" w:eastAsia="仿宋_GB2312"/>
          <w:sz w:val="32"/>
          <w:szCs w:val="32"/>
          <w:lang w:val="zh-CN"/>
        </w:rPr>
      </w:pPr>
      <w:r>
        <w:rPr>
          <w:rFonts w:hint="eastAsia" w:ascii="仿宋_GB2312" w:eastAsia="仿宋_GB2312"/>
          <w:sz w:val="32"/>
          <w:szCs w:val="32"/>
        </w:rPr>
        <w:t>5.住房保障支出（类）住房改革支出（款）住房公积金（项）:支出决算数为0.00万元，比上年决算减少22.95万元，下降100%，主要原因是：本年功能科目调整，此科目经费本年合并至主款科目核算，导致此经费减少</w:t>
      </w:r>
      <w:r>
        <w:rPr>
          <w:rFonts w:hint="eastAsia" w:ascii="仿宋_GB2312" w:eastAsia="仿宋_GB2312"/>
          <w:sz w:val="32"/>
          <w:szCs w:val="32"/>
          <w:lang w:val="zh-CN"/>
        </w:rPr>
        <w:t>。</w:t>
      </w:r>
    </w:p>
    <w:p w14:paraId="6590C64A">
      <w:pPr>
        <w:ind w:firstLine="640" w:firstLineChars="200"/>
        <w:jc w:val="left"/>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基本养老保险缴费支出（项）:支出决算数为0.00万元，比上年决算减少29.12万元，下降100%，主要原因是：本年功能科目调整，此科目经费本年合并至主款科目核算，导致此经费减少</w:t>
      </w:r>
      <w:r>
        <w:rPr>
          <w:rFonts w:hint="eastAsia" w:eastAsia="仿宋_GB2312"/>
          <w:color w:val="000000" w:themeColor="text1"/>
          <w:sz w:val="32"/>
          <w:szCs w:val="32"/>
          <w:lang w:val="zh-CN"/>
          <w14:textFill>
            <w14:solidFill>
              <w14:schemeClr w14:val="tx1"/>
            </w14:solidFill>
          </w14:textFill>
        </w:rPr>
        <w:t>。</w:t>
      </w:r>
    </w:p>
    <w:p w14:paraId="7E13F85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F2B44A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358.61万元，其中：人员经费350.84万元，包括：基本工资、津贴补贴、奖金、机关事业单位基本养老保险缴费、职业年金缴费、职工基本医疗保险缴费、其他社会保障缴费、住房公积金、其他工资福利支出、退休费、生活补助、奖励金、其他对个人和家庭的补助。</w:t>
      </w:r>
    </w:p>
    <w:p w14:paraId="19F577BD">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公用经费7.77万元，包括：办公费、邮电费、租赁费、劳务费、其他商品和服务支出。</w:t>
      </w:r>
    </w:p>
    <w:p w14:paraId="78FF428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3A94AE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40AC64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092AD1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0606D70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4F74A7B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49533F2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bookmarkStart w:id="48" w:name="_GoBack"/>
      <w:r>
        <w:rPr>
          <w:rFonts w:hint="eastAsia" w:ascii="仿宋_GB2312" w:eastAsia="仿宋_GB2312"/>
          <w:sz w:val="32"/>
          <w:szCs w:val="32"/>
        </w:rPr>
        <w:t>,</w:t>
      </w:r>
      <w:bookmarkEnd w:id="48"/>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19AB421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A1354A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2A384E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62D690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72321B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9D119BB">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5D51A3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木垒哈萨克自治县民族歌舞团（事业单位）公用经费支出7.77万元，</w:t>
      </w:r>
      <w:r>
        <w:rPr>
          <w:rFonts w:hint="eastAsia" w:ascii="仿宋_GB2312" w:eastAsia="仿宋_GB2312"/>
          <w:sz w:val="32"/>
          <w:szCs w:val="32"/>
          <w:lang w:val="zh-CN"/>
        </w:rPr>
        <w:t>比上年增加2.27万元，增长41.27%，主要原因是：</w:t>
      </w:r>
      <w:r>
        <w:rPr>
          <w:rFonts w:hint="eastAsia" w:ascii="仿宋_GB2312" w:eastAsia="仿宋_GB2312"/>
          <w:sz w:val="32"/>
          <w:szCs w:val="32"/>
        </w:rPr>
        <w:t>单位本年办公费、邮电费、劳务费较上年增加。</w:t>
      </w:r>
    </w:p>
    <w:p w14:paraId="3B5C610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2029B8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1915C2BE">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72DCC30B">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A337CE7">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60.77</w:t>
      </w:r>
      <w:r>
        <w:rPr>
          <w:rFonts w:hint="eastAsia" w:ascii="仿宋_GB2312" w:eastAsia="仿宋_GB2312"/>
          <w:sz w:val="32"/>
          <w:szCs w:val="32"/>
        </w:rPr>
        <w:t>万元，房</w:t>
      </w:r>
      <w:r>
        <w:rPr>
          <w:rFonts w:hint="eastAsia" w:ascii="仿宋_GB2312" w:eastAsia="仿宋_GB2312"/>
          <w:sz w:val="32"/>
          <w:szCs w:val="32"/>
          <w:lang w:val="zh-CN"/>
        </w:rPr>
        <w:t>屋0.</w:t>
      </w:r>
      <w:r>
        <w:rPr>
          <w:rFonts w:hint="eastAsia" w:ascii="仿宋_GB2312" w:eastAsia="仿宋_GB2312"/>
          <w:sz w:val="32"/>
          <w:szCs w:val="32"/>
        </w:rPr>
        <w:t>0</w:t>
      </w:r>
      <w:r>
        <w:rPr>
          <w:rFonts w:hint="eastAsia" w:ascii="仿宋_GB2312" w:eastAsia="仿宋_GB2312"/>
          <w:sz w:val="32"/>
          <w:szCs w:val="32"/>
          <w:lang w:val="zh-CN"/>
        </w:rPr>
        <w:t>0平方米，价值0.00万元。车辆0辆，价值0.00万元，其中：副部（省）级及以上领导用车0辆、主要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单位本年无其他用车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444B5FCB">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1AA6B93A">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358.61万元，实际执行总额358.61万元；预算绩效评价项目0个，全年预算数0.00万元，全年执行数0.00万元。预算绩效管理取得的成效：一是</w:t>
      </w:r>
      <w:r>
        <w:rPr>
          <w:rFonts w:hint="eastAsia" w:ascii="仿宋_GB2312" w:hAnsi="宋体" w:eastAsia="仿宋_GB2312"/>
          <w:bCs/>
          <w:color w:val="000000" w:themeColor="text1"/>
          <w:sz w:val="32"/>
          <w:szCs w:val="32"/>
          <w14:textFill>
            <w14:solidFill>
              <w14:schemeClr w14:val="tx1"/>
            </w14:solidFill>
          </w14:textFill>
        </w:rPr>
        <w:t>我单位通过加强预算收支管理，不断建立健全内部管理制度，梳理内部管理流程，部门整体支出管理情况得到提升</w:t>
      </w:r>
      <w:r>
        <w:rPr>
          <w:rStyle w:val="12"/>
          <w:rFonts w:hint="eastAsia" w:ascii="仿宋_GB2312" w:hAnsi="仿宋_GB2312" w:eastAsia="仿宋_GB2312" w:cs="仿宋_GB2312"/>
          <w:b w:val="0"/>
          <w:bCs/>
          <w:color w:val="000000" w:themeColor="text1"/>
          <w:sz w:val="32"/>
          <w:szCs w:val="32"/>
          <w:lang w:bidi="ar"/>
          <w14:textFill>
            <w14:solidFill>
              <w14:schemeClr w14:val="tx1"/>
            </w14:solidFill>
          </w14:textFill>
        </w:rPr>
        <w:t>；</w:t>
      </w:r>
      <w:r>
        <w:rPr>
          <w:rFonts w:hint="eastAsia" w:ascii="仿宋_GB2312" w:eastAsia="仿宋_GB2312"/>
          <w:sz w:val="32"/>
          <w:szCs w:val="32"/>
        </w:rPr>
        <w:t>二是</w:t>
      </w:r>
      <w:r>
        <w:rPr>
          <w:rFonts w:hint="eastAsia" w:ascii="仿宋_GB2312" w:hAnsi="宋体" w:eastAsia="仿宋_GB2312"/>
          <w:color w:val="000000" w:themeColor="text1"/>
          <w:sz w:val="32"/>
          <w:szCs w:val="32"/>
          <w14:textFill>
            <w14:solidFill>
              <w14:schemeClr w14:val="tx1"/>
            </w14:solidFill>
          </w14:textFill>
        </w:rPr>
        <w:t>将预算及时公开到相关的信息网络平台，并在执行过程中积极对执行情况进行监控，对预算的资金进行全方位的监督和管理，使每一笔资金都能起到最大的使用效益。结合我团实际情况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Style w:val="12"/>
          <w:rFonts w:hint="eastAsia" w:ascii="仿宋_GB2312" w:hAnsi="仿宋_GB2312" w:eastAsia="仿宋_GB2312" w:cs="仿宋_GB2312"/>
          <w:b w:val="0"/>
          <w:spacing w:val="-4"/>
          <w:sz w:val="32"/>
          <w:szCs w:val="32"/>
        </w:rPr>
        <w:t>绩效运行监控工作接触时间不长，但由于运行时间较短，在绩效目标编制上依然有欠缺，绩效目标设立不够明确、细化和量化。对绩效分析也不够透彻；</w:t>
      </w:r>
      <w:r>
        <w:rPr>
          <w:rFonts w:hint="eastAsia" w:ascii="仿宋_GB2312" w:eastAsia="仿宋_GB2312"/>
          <w:sz w:val="32"/>
          <w:szCs w:val="32"/>
        </w:rPr>
        <w:t>二是</w:t>
      </w:r>
      <w:r>
        <w:rPr>
          <w:rStyle w:val="12"/>
          <w:rFonts w:hint="eastAsia" w:ascii="仿宋_GB2312" w:hAnsi="仿宋_GB2312" w:eastAsia="仿宋_GB2312" w:cs="仿宋_GB2312"/>
          <w:b w:val="0"/>
          <w:spacing w:val="-4"/>
          <w:sz w:val="32"/>
          <w:szCs w:val="32"/>
        </w:rPr>
        <w:t>在资金申请工作中要积极主动联系财政部门确保资金及时落实到位，进一步按照国家有关财务规章制度规定加强资金使用管理，确保资金用到实处，</w:t>
      </w:r>
      <w:r>
        <w:rPr>
          <w:rStyle w:val="12"/>
          <w:rFonts w:hint="eastAsia" w:ascii="仿宋_GB2312" w:hAnsi="仿宋_GB2312" w:eastAsia="仿宋_GB2312" w:cs="仿宋_GB2312"/>
          <w:b w:val="0"/>
          <w:spacing w:val="-4"/>
          <w:sz w:val="32"/>
          <w:szCs w:val="32"/>
          <w:lang w:eastAsia="zh-CN"/>
        </w:rPr>
        <w:t>工作有序地开展</w:t>
      </w:r>
      <w:r>
        <w:rPr>
          <w:rStyle w:val="12"/>
          <w:rFonts w:hint="eastAsia" w:ascii="仿宋_GB2312" w:hAnsi="仿宋_GB2312" w:eastAsia="仿宋_GB2312" w:cs="仿宋_GB2312"/>
          <w:b w:val="0"/>
          <w:spacing w:val="-4"/>
          <w:sz w:val="32"/>
          <w:szCs w:val="32"/>
        </w:rPr>
        <w:t>，加强自身建设，提高服务能力。通过分析评价，发现问题及时督促整改。</w:t>
      </w:r>
      <w:r>
        <w:rPr>
          <w:rFonts w:hint="eastAsia" w:ascii="仿宋_GB2312" w:eastAsia="仿宋_GB2312"/>
          <w:sz w:val="32"/>
          <w:szCs w:val="32"/>
        </w:rPr>
        <w:t>下一步改进措施：一是</w:t>
      </w:r>
      <w:r>
        <w:rPr>
          <w:rStyle w:val="12"/>
          <w:rFonts w:hint="eastAsia" w:ascii="仿宋_GB2312" w:hAnsi="仿宋_GB2312" w:eastAsia="仿宋_GB2312" w:cs="仿宋_GB2312"/>
          <w:b w:val="0"/>
          <w:spacing w:val="-4"/>
          <w:sz w:val="32"/>
          <w:szCs w:val="32"/>
        </w:rPr>
        <w:t>大力强化宣传，加强政策学习，提高思想认识，提高绩效监控认同感，首先要从部门实际入手，进行深刻剖析，分析实施绩效监控的重要性和意义，激发部门单位对实施绩效监控的积极性；</w:t>
      </w:r>
      <w:r>
        <w:rPr>
          <w:rFonts w:hint="eastAsia" w:ascii="仿宋_GB2312" w:eastAsia="仿宋_GB2312"/>
          <w:sz w:val="32"/>
          <w:szCs w:val="32"/>
        </w:rPr>
        <w:t>二是</w:t>
      </w:r>
      <w:r>
        <w:rPr>
          <w:rStyle w:val="12"/>
          <w:rFonts w:hint="eastAsia" w:ascii="仿宋_GB2312" w:hAnsi="仿宋_GB2312" w:eastAsia="仿宋_GB2312" w:cs="仿宋_GB2312"/>
          <w:b w:val="0"/>
          <w:spacing w:val="-4"/>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w:t>
      </w:r>
      <w:r>
        <w:rPr>
          <w:rStyle w:val="12"/>
          <w:rFonts w:hint="eastAsia" w:ascii="仿宋_GB2312" w:hAnsi="仿宋_GB2312" w:eastAsia="仿宋_GB2312" w:cs="仿宋_GB2312"/>
          <w:b w:val="0"/>
          <w:spacing w:val="-4"/>
          <w:sz w:val="32"/>
          <w:szCs w:val="32"/>
          <w:lang w:eastAsia="zh-CN"/>
        </w:rPr>
        <w:t>政治执行力</w:t>
      </w:r>
      <w:r>
        <w:rPr>
          <w:rStyle w:val="12"/>
          <w:rFonts w:hint="eastAsia" w:ascii="仿宋_GB2312" w:hAnsi="仿宋_GB2312" w:eastAsia="仿宋_GB2312" w:cs="仿宋_GB2312"/>
          <w:b w:val="0"/>
          <w:spacing w:val="-4"/>
          <w:sz w:val="32"/>
          <w:szCs w:val="32"/>
        </w:rPr>
        <w:t>和公信力提升</w:t>
      </w:r>
      <w:r>
        <w:rPr>
          <w:rStyle w:val="12"/>
          <w:rFonts w:hint="eastAsia" w:ascii="仿宋_GB2312" w:hAnsi="仿宋_GB2312" w:eastAsia="仿宋_GB2312" w:cs="仿宋_GB2312"/>
          <w:b w:val="0"/>
          <w:color w:val="000000" w:themeColor="text1"/>
          <w:spacing w:val="-4"/>
          <w:sz w:val="32"/>
          <w:szCs w:val="32"/>
          <w14:textFill>
            <w14:solidFill>
              <w14:schemeClr w14:val="tx1"/>
            </w14:solidFill>
          </w14:textFill>
        </w:rPr>
        <w:t>。</w:t>
      </w:r>
      <w:r>
        <w:rPr>
          <w:rFonts w:hint="eastAsia" w:ascii="仿宋_GB2312" w:eastAsia="仿宋_GB2312"/>
          <w:sz w:val="32"/>
          <w:szCs w:val="32"/>
        </w:rPr>
        <w:t>具体项目自评情况附绩效自评表及自评报告。</w:t>
      </w:r>
    </w:p>
    <w:tbl>
      <w:tblPr>
        <w:tblStyle w:val="10"/>
        <w:tblW w:w="5000" w:type="pct"/>
        <w:jc w:val="center"/>
        <w:tblLayout w:type="autofit"/>
        <w:tblCellMar>
          <w:top w:w="0" w:type="dxa"/>
          <w:left w:w="108" w:type="dxa"/>
          <w:bottom w:w="0" w:type="dxa"/>
          <w:right w:w="108" w:type="dxa"/>
        </w:tblCellMar>
      </w:tblPr>
      <w:tblGrid>
        <w:gridCol w:w="1816"/>
        <w:gridCol w:w="1197"/>
        <w:gridCol w:w="1171"/>
        <w:gridCol w:w="968"/>
        <w:gridCol w:w="1016"/>
        <w:gridCol w:w="714"/>
        <w:gridCol w:w="916"/>
        <w:gridCol w:w="724"/>
      </w:tblGrid>
      <w:tr w14:paraId="2C65FD10">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CAE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1C25F484">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A1C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36F7727A">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3C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9F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歌舞团</w:t>
            </w:r>
          </w:p>
        </w:tc>
      </w:tr>
      <w:tr w14:paraId="46495F77">
        <w:tblPrEx>
          <w:tblCellMar>
            <w:top w:w="0" w:type="dxa"/>
            <w:left w:w="108" w:type="dxa"/>
            <w:bottom w:w="0" w:type="dxa"/>
            <w:right w:w="108" w:type="dxa"/>
          </w:tblCellMar>
        </w:tblPrEx>
        <w:trPr>
          <w:trHeight w:val="57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F76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78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1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85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73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CC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95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33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5A370CD7">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02EB4">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54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8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82C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9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1C4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C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71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9C4D343">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48613">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844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BA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5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54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5D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6EA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01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CFE3DDC">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96ABC">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A4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CB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56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266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10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98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2C9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48801CB">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81CEE">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A1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6E4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342.18</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BF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358.60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6D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358.60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543D">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47EA1">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B17E">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4051212">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9AC7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95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8C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F3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B71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0.01</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2186">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DD48">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F790">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44E760A">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336AD">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41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C2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342.18</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35A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358.61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0F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358.61</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2A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5C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DDF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786E86E">
        <w:tblPrEx>
          <w:tblCellMar>
            <w:top w:w="0" w:type="dxa"/>
            <w:left w:w="108" w:type="dxa"/>
            <w:bottom w:w="0" w:type="dxa"/>
            <w:right w:w="108" w:type="dxa"/>
          </w:tblCellMar>
        </w:tblPrEx>
        <w:trPr>
          <w:trHeight w:val="705"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31F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F7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7C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20DB459A">
        <w:tblPrEx>
          <w:tblCellMar>
            <w:top w:w="0" w:type="dxa"/>
            <w:left w:w="108" w:type="dxa"/>
            <w:bottom w:w="0" w:type="dxa"/>
            <w:right w:w="108" w:type="dxa"/>
          </w:tblCellMar>
        </w:tblPrEx>
        <w:trPr>
          <w:trHeight w:val="200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FA884">
            <w:pPr>
              <w:jc w:val="center"/>
              <w:rPr>
                <w:rFonts w:hint="eastAsia" w:ascii="宋体" w:hAnsi="宋体" w:cs="宋体"/>
                <w:color w:val="000000"/>
                <w:sz w:val="20"/>
                <w:szCs w:val="20"/>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40A0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2023年完成演出80场次，下乡演出15场次，参与大型演出活动2次，举办歌舞培训10次等活动；提升社会公众对歌舞演出的满意率。</w:t>
            </w:r>
          </w:p>
        </w:tc>
        <w:tc>
          <w:tcPr>
            <w:tcW w:w="33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5FF2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截至2023年</w:t>
            </w:r>
            <w:r>
              <w:rPr>
                <w:rFonts w:hint="eastAsia" w:ascii="宋体" w:hAnsi="宋体" w:cs="宋体"/>
                <w:color w:val="000000"/>
                <w:kern w:val="0"/>
                <w:sz w:val="20"/>
                <w:szCs w:val="20"/>
                <w:lang w:bidi="ar"/>
              </w:rPr>
              <w:t>12月31日，民族歌舞团正常运行，完成演出80场次，下乡演出15场次，参与大型演出活动3次，举办歌舞培训10次，经调研，我单位本年度的工作得到了社会公众极大的认可。</w:t>
            </w:r>
          </w:p>
        </w:tc>
      </w:tr>
      <w:tr w14:paraId="1FA5E7E0">
        <w:tblPrEx>
          <w:tblCellMar>
            <w:top w:w="0" w:type="dxa"/>
            <w:left w:w="108" w:type="dxa"/>
            <w:bottom w:w="0" w:type="dxa"/>
            <w:right w:w="108" w:type="dxa"/>
          </w:tblCellMar>
        </w:tblPrEx>
        <w:trPr>
          <w:trHeight w:val="58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E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F7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57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FA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B57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51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B52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15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F7DDDC6">
        <w:tblPrEx>
          <w:tblCellMar>
            <w:top w:w="0" w:type="dxa"/>
            <w:left w:w="108" w:type="dxa"/>
            <w:bottom w:w="0" w:type="dxa"/>
            <w:right w:w="108" w:type="dxa"/>
          </w:tblCellMar>
        </w:tblPrEx>
        <w:trPr>
          <w:trHeight w:val="74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5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F77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A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0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&gt;=27人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68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《关于木垒哈萨克自治县文化体育广播电视和旅游局所属事业单位机构编制调整有关事宜的通知》（木县党机编发</w:t>
            </w:r>
            <w:r>
              <w:rPr>
                <w:rFonts w:hint="eastAsia" w:ascii="宋体" w:hAnsi="宋体" w:cs="宋体"/>
                <w:color w:val="000000"/>
                <w:kern w:val="0"/>
                <w:sz w:val="20"/>
                <w:szCs w:val="20"/>
                <w:lang w:eastAsia="zh-CN" w:bidi="ar"/>
              </w:rPr>
              <w:t>〔2020〕32号</w:t>
            </w:r>
            <w:r>
              <w:rPr>
                <w:rFonts w:hint="eastAsia" w:ascii="宋体" w:hAnsi="宋体" w:cs="宋体"/>
                <w:color w:val="000000"/>
                <w:kern w:val="0"/>
                <w:sz w:val="20"/>
                <w:szCs w:val="20"/>
                <w:lang w:bidi="ar"/>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15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58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27人</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AE9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0712AFE">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1C6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57AF3">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A7E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下乡巡回演出数量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5F7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&gt;=15次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3E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95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BA7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CA0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0200CA2">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B224D">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F97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668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单场演出时长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C1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&lt;=2.50小时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F74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8E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D2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2.5小时</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B0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79B708C">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15C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83B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AD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年演出场次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8C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&gt;=80场次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68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E42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03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80场次</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53E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449EC19">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98705">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DB4B0">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B7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参与大型文艺演出场次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6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BE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3C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1C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8D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585A85C">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36DBA">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52899">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35F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举办歌舞培训数量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0E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86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61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AB4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D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C963FE6">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87C81">
            <w:pPr>
              <w:jc w:val="center"/>
              <w:rPr>
                <w:rFonts w:hint="eastAsia" w:ascii="宋体" w:hAnsi="宋体" w:cs="宋体"/>
                <w:color w:val="000000"/>
                <w:sz w:val="20"/>
                <w:szCs w:val="20"/>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ED4B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5F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培训合格率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2D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F2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40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E80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6EC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BEC1EAB">
        <w:tblPrEx>
          <w:tblCellMar>
            <w:top w:w="0" w:type="dxa"/>
            <w:left w:w="108" w:type="dxa"/>
            <w:bottom w:w="0" w:type="dxa"/>
            <w:right w:w="108" w:type="dxa"/>
          </w:tblCellMar>
        </w:tblPrEx>
        <w:trPr>
          <w:trHeight w:val="74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49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07C70">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9C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社会公众对歌舞演出的满意度</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21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CD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木垒县民族歌舞团2023年工作计划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8B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4E2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78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bl>
    <w:p w14:paraId="1C6163C9">
      <w:pPr>
        <w:ind w:firstLine="640" w:firstLineChars="200"/>
        <w:jc w:val="left"/>
        <w:rPr>
          <w:rFonts w:hint="eastAsia" w:ascii="黑体" w:hAnsi="黑体" w:eastAsia="黑体" w:cs="宋体"/>
          <w:bCs/>
          <w:kern w:val="0"/>
          <w:sz w:val="32"/>
          <w:szCs w:val="32"/>
        </w:rPr>
      </w:pPr>
    </w:p>
    <w:p w14:paraId="5F3DCB7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0B29B72">
      <w:pPr>
        <w:ind w:firstLine="640" w:firstLineChars="200"/>
        <w:jc w:val="left"/>
        <w:outlineLvl w:val="0"/>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F0245BF">
      <w:pPr>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53A88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18DC7F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73D8F2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FA969A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14775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D82DB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03B4E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E2F97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1DD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24C3CE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1C88F6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632697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703D3A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DC02C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B62E32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BB15A15">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DD9CEB0">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7DB27E8">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7D96AD52">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8840BEB">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CC9E3DB">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83705D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1E8460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6D2449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B9F3A57">
      <w:pPr>
        <w:ind w:firstLine="640" w:firstLineChars="200"/>
        <w:rPr>
          <w:rFonts w:ascii="仿宋_GB2312" w:eastAsia="仿宋_GB2312"/>
          <w:sz w:val="32"/>
          <w:szCs w:val="32"/>
        </w:rPr>
      </w:pPr>
    </w:p>
    <w:p w14:paraId="368DE66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74A5B">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AD3737">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2AD3737">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M2I0NWRhNDM2MWVkM2Q3YzY0OGU0YTRiMGUzYTAifQ=="/>
    <w:docVar w:name="KSO_WPS_MARK_KEY" w:val="41ee2a61-2d54-4f93-83be-afdb9a40d732"/>
  </w:docVars>
  <w:rsids>
    <w:rsidRoot w:val="002F785F"/>
    <w:rsid w:val="00077DD5"/>
    <w:rsid w:val="000E018A"/>
    <w:rsid w:val="00213C59"/>
    <w:rsid w:val="00235A14"/>
    <w:rsid w:val="002B2D04"/>
    <w:rsid w:val="002F785F"/>
    <w:rsid w:val="003210CE"/>
    <w:rsid w:val="003A44CA"/>
    <w:rsid w:val="003C1996"/>
    <w:rsid w:val="00463703"/>
    <w:rsid w:val="005428AE"/>
    <w:rsid w:val="00622755"/>
    <w:rsid w:val="00726708"/>
    <w:rsid w:val="00755CF9"/>
    <w:rsid w:val="007E1DDF"/>
    <w:rsid w:val="00890812"/>
    <w:rsid w:val="00A83E2E"/>
    <w:rsid w:val="00B70D59"/>
    <w:rsid w:val="00E34622"/>
    <w:rsid w:val="00E86206"/>
    <w:rsid w:val="00EA771B"/>
    <w:rsid w:val="00ED28AC"/>
    <w:rsid w:val="00F47BF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EF44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EA34E4"/>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895363"/>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line="560" w:lineRule="exact"/>
      <w:outlineLvl w:val="1"/>
    </w:pPr>
    <w:rPr>
      <w:rFonts w:ascii="Arial" w:hAnsi="Arial" w:eastAsia="楷体"/>
      <w:b/>
      <w:sz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autoRedefine/>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列表段落1"/>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5933</Words>
  <Characters>6681</Characters>
  <Lines>55</Lines>
  <Paragraphs>15</Paragraphs>
  <TotalTime>5</TotalTime>
  <ScaleCrop>false</ScaleCrop>
  <LinksUpToDate>false</LinksUpToDate>
  <CharactersWithSpaces>6691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2024-12-04T08:37:04Z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